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F51" w:rsidRDefault="00544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Contracts and Grants: A Comparative </w:t>
      </w:r>
      <w:r>
        <w:rPr>
          <w:rFonts w:ascii="Arial" w:eastAsia="Arial" w:hAnsi="Arial" w:cs="Arial"/>
          <w:b/>
          <w:sz w:val="24"/>
          <w:szCs w:val="24"/>
        </w:rPr>
        <w:t>Table</w:t>
      </w:r>
    </w:p>
    <w:p w:rsidR="00091F51" w:rsidRDefault="00091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3"/>
        <w:gridCol w:w="6891"/>
        <w:gridCol w:w="7371"/>
      </w:tblGrid>
      <w:tr w:rsidR="00091F51">
        <w:tc>
          <w:tcPr>
            <w:tcW w:w="1473" w:type="dxa"/>
            <w:shd w:val="clear" w:color="auto" w:fill="E69138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6891" w:type="dxa"/>
            <w:shd w:val="clear" w:color="auto" w:fill="E69138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Contracts: </w:t>
            </w:r>
            <w:hyperlink r:id="rId5">
              <w:r>
                <w:rPr>
                  <w:rFonts w:ascii="Arial" w:eastAsia="Arial" w:hAnsi="Arial" w:cs="Arial"/>
                  <w:b/>
                  <w:color w:val="0563C1"/>
                  <w:sz w:val="18"/>
                  <w:szCs w:val="18"/>
                  <w:u w:val="single"/>
                </w:rPr>
                <w:t>www.gov.uk/government/collections/the-public-sector-contract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shd w:val="clear" w:color="auto" w:fill="E69138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Government Grants: </w:t>
            </w:r>
            <w:hyperlink r:id="rId6">
              <w:r>
                <w:rPr>
                  <w:rFonts w:ascii="Arial" w:eastAsia="Arial" w:hAnsi="Arial" w:cs="Arial"/>
                  <w:b/>
                  <w:color w:val="0563C1"/>
                  <w:sz w:val="18"/>
                  <w:szCs w:val="18"/>
                  <w:u w:val="single"/>
                </w:rPr>
                <w:t>https://grantshub.civilservice.gov.uk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91F51">
        <w:tc>
          <w:tcPr>
            <w:tcW w:w="1473" w:type="dxa"/>
            <w:shd w:val="clear" w:color="auto" w:fill="FFFFFF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6891" w:type="dxa"/>
            <w:shd w:val="clear" w:color="auto" w:fill="FFFFFF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agreement for money to be paid to an external source / party for the purchase of products (assets or goods) or activities (services or works). Usually focussed on specific output. Mostly for commercial opportunities, and the provision of goods and serv</w:t>
            </w:r>
            <w:r>
              <w:rPr>
                <w:rFonts w:ascii="Arial" w:eastAsia="Arial" w:hAnsi="Arial" w:cs="Arial"/>
                <w:sz w:val="20"/>
                <w:szCs w:val="20"/>
              </w:rPr>
              <w:t>ices or access to experts.</w:t>
            </w:r>
          </w:p>
        </w:tc>
        <w:tc>
          <w:tcPr>
            <w:tcW w:w="7371" w:type="dxa"/>
            <w:shd w:val="clear" w:color="auto" w:fill="FFFFFF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agreement for money to be paid to an individual or entity to fund activities that align with departmental policy and / or for the public good. Usually focussed on more general outcomes. In reflecting department priorities the</w:t>
            </w:r>
            <w:r>
              <w:rPr>
                <w:rFonts w:ascii="Arial" w:eastAsia="Arial" w:hAnsi="Arial" w:cs="Arial"/>
                <w:sz w:val="20"/>
                <w:szCs w:val="20"/>
              </w:rPr>
              <w:t>se can cover areas of disadvantage, social improvement, research and innovation etc.</w:t>
            </w:r>
          </w:p>
        </w:tc>
      </w:tr>
      <w:tr w:rsidR="00091F51">
        <w:tc>
          <w:tcPr>
            <w:tcW w:w="1473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Benefit to Government</w:t>
            </w:r>
          </w:p>
        </w:tc>
        <w:tc>
          <w:tcPr>
            <w:tcW w:w="6891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Departments can benefit directly, by taking ownership of goods purchased, or receiving services provided.</w:t>
            </w:r>
          </w:p>
        </w:tc>
        <w:tc>
          <w:tcPr>
            <w:tcW w:w="7371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Departments have activities carried out th</w:t>
            </w:r>
            <w:r>
              <w:rPr>
                <w:rFonts w:ascii="Arial" w:eastAsia="Arial" w:hAnsi="Arial" w:cs="Arial"/>
                <w:sz w:val="20"/>
                <w:szCs w:val="20"/>
              </w:rPr>
              <w:t>at align with their policies, they do not gain a direct economic benefit (except if replacing a spending commitment).</w:t>
            </w:r>
          </w:p>
        </w:tc>
      </w:tr>
      <w:tr w:rsidR="00091F51">
        <w:tc>
          <w:tcPr>
            <w:tcW w:w="1473" w:type="dxa"/>
            <w:shd w:val="clear" w:color="auto" w:fill="FFFFFF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Incentives</w:t>
            </w:r>
          </w:p>
        </w:tc>
        <w:tc>
          <w:tcPr>
            <w:tcW w:w="6891" w:type="dxa"/>
            <w:shd w:val="clear" w:color="auto" w:fill="FFFFFF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Most contracts have a profit element to the payment and consideration. Contracted parties can make a reasonable return / profit margin in return for the risk they are accepting and the goods or services being delivered. </w:t>
            </w:r>
          </w:p>
        </w:tc>
        <w:tc>
          <w:tcPr>
            <w:tcW w:w="7371" w:type="dxa"/>
            <w:shd w:val="clear" w:color="auto" w:fill="FFFFFF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Grants do not generally have a prof</w:t>
            </w:r>
            <w:r>
              <w:rPr>
                <w:rFonts w:ascii="Arial" w:eastAsia="Arial" w:hAnsi="Arial" w:cs="Arial"/>
                <w:sz w:val="20"/>
                <w:szCs w:val="20"/>
              </w:rPr>
              <w:t>it element, they are usually for reimbursement of costs incurred. The recipient is usually barred from making a profit from delivery. Grants incentivise delivery through funding.</w:t>
            </w:r>
          </w:p>
        </w:tc>
      </w:tr>
      <w:tr w:rsidR="00091F51">
        <w:tc>
          <w:tcPr>
            <w:tcW w:w="1473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Ownership and Liability</w:t>
            </w:r>
          </w:p>
        </w:tc>
        <w:tc>
          <w:tcPr>
            <w:tcW w:w="6891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Departments can take ownership of (and may be benefi</w:t>
            </w:r>
            <w:r>
              <w:rPr>
                <w:rFonts w:ascii="Arial" w:eastAsia="Arial" w:hAnsi="Arial" w:cs="Arial"/>
                <w:sz w:val="20"/>
                <w:szCs w:val="20"/>
              </w:rPr>
              <w:t>ciary to) the products or activities. Liability / risk lies predominantly with the contractor.</w:t>
            </w:r>
          </w:p>
        </w:tc>
        <w:tc>
          <w:tcPr>
            <w:tcW w:w="7371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funding department does not take ownership of (nor will it be beneficiary to) the activities. Liability / risk lies predominantly with the funder.</w:t>
            </w:r>
          </w:p>
        </w:tc>
      </w:tr>
      <w:tr w:rsidR="00091F51">
        <w:trPr>
          <w:trHeight w:val="474"/>
        </w:trPr>
        <w:tc>
          <w:tcPr>
            <w:tcW w:w="1473" w:type="dxa"/>
            <w:shd w:val="clear" w:color="auto" w:fill="FFFFFF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</w:t>
            </w:r>
          </w:p>
        </w:tc>
        <w:tc>
          <w:tcPr>
            <w:tcW w:w="6891" w:type="dxa"/>
            <w:shd w:val="clear" w:color="auto" w:fill="FFFFFF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Departments have greater / direct control over the funds spent.</w:t>
            </w:r>
          </w:p>
        </w:tc>
        <w:tc>
          <w:tcPr>
            <w:tcW w:w="7371" w:type="dxa"/>
            <w:shd w:val="clear" w:color="auto" w:fill="FFFFFF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Gives Department limited control over the funds spent, allowing Departments to remain at arm’s length to recipients and outputs.</w:t>
            </w:r>
          </w:p>
        </w:tc>
      </w:tr>
      <w:tr w:rsidR="00091F51">
        <w:tc>
          <w:tcPr>
            <w:tcW w:w="1473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Elements</w:t>
            </w:r>
          </w:p>
        </w:tc>
        <w:tc>
          <w:tcPr>
            <w:tcW w:w="6891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legally enforceable agreement, between two or more </w:t>
            </w:r>
            <w:r>
              <w:rPr>
                <w:rFonts w:ascii="Arial" w:eastAsia="Arial" w:hAnsi="Arial" w:cs="Arial"/>
                <w:sz w:val="20"/>
                <w:szCs w:val="20"/>
              </w:rPr>
              <w:t>competent parties that intend to be legally bound, where an offer is made and accepted, and funds / resources are provided for goods or services (consideration).</w:t>
            </w:r>
          </w:p>
        </w:tc>
        <w:tc>
          <w:tcPr>
            <w:tcW w:w="7371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legal agreement, between two or more parties, where on evidence of the entity’s need or qual</w:t>
            </w:r>
            <w:r>
              <w:rPr>
                <w:rFonts w:ascii="Arial" w:eastAsia="Arial" w:hAnsi="Arial" w:cs="Arial"/>
                <w:sz w:val="20"/>
                <w:szCs w:val="20"/>
              </w:rPr>
              <w:t>ification, money is paid in order to fund (or reimburse expenditure on) specific recipient activities or services.</w:t>
            </w:r>
          </w:p>
        </w:tc>
      </w:tr>
      <w:tr w:rsidR="00091F51">
        <w:trPr>
          <w:trHeight w:val="710"/>
        </w:trPr>
        <w:tc>
          <w:tcPr>
            <w:tcW w:w="1473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Establishment </w:t>
            </w:r>
          </w:p>
        </w:tc>
        <w:tc>
          <w:tcPr>
            <w:tcW w:w="6891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Usually developed via commission for a specific service / goods, detailed specification of goods or services to be provided. With defined outputs and a delivery profile or agreed activity.</w:t>
            </w:r>
          </w:p>
        </w:tc>
        <w:tc>
          <w:tcPr>
            <w:tcW w:w="7371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Usually developed in conjunction with existing activities that alig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with Department policy, indication of likely areas to benefit, of desired outcomes and longer term impacts. Less well defined, particularly for innovation / research.</w:t>
            </w:r>
          </w:p>
        </w:tc>
      </w:tr>
      <w:tr w:rsidR="00091F51">
        <w:trPr>
          <w:trHeight w:val="674"/>
        </w:trPr>
        <w:tc>
          <w:tcPr>
            <w:tcW w:w="1473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Terms &amp; Conditions</w:t>
            </w:r>
          </w:p>
        </w:tc>
        <w:tc>
          <w:tcPr>
            <w:tcW w:w="6891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Terms are any provisions that form part of the contract, they creat</w:t>
            </w:r>
            <w:r>
              <w:rPr>
                <w:rFonts w:ascii="Arial" w:eastAsia="Arial" w:hAnsi="Arial" w:cs="Arial"/>
                <w:sz w:val="20"/>
                <w:szCs w:val="20"/>
              </w:rPr>
              <w:t>e legal obligations. Terms can be conditions or warranties. They regulate the exchange of products / activities (quality, quantity, etc.) for payment.</w:t>
            </w:r>
          </w:p>
        </w:tc>
        <w:tc>
          <w:tcPr>
            <w:tcW w:w="7371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grant is provided on conditions aimed at ensuring the proper application of the grant funds, but not 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return for anything. Terms and Conditions focus on broader aims / milestones and categories of expenditure.</w:t>
            </w:r>
          </w:p>
        </w:tc>
      </w:tr>
      <w:tr w:rsidR="00091F51">
        <w:tc>
          <w:tcPr>
            <w:tcW w:w="1473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Payment</w:t>
            </w:r>
          </w:p>
        </w:tc>
        <w:tc>
          <w:tcPr>
            <w:tcW w:w="6891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 pay by results, transferring risk and limiting financial exposure – uses targets to incentivise performance. Funding is payable as deposits or on completion of contract stages.</w:t>
            </w:r>
          </w:p>
        </w:tc>
        <w:tc>
          <w:tcPr>
            <w:tcW w:w="7371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Can be paid in advance of the activities being carried out </w:t>
            </w:r>
            <w:r>
              <w:rPr>
                <w:rFonts w:ascii="Arial" w:eastAsia="Arial" w:hAnsi="Arial" w:cs="Arial"/>
                <w:sz w:val="20"/>
                <w:szCs w:val="20"/>
              </w:rPr>
              <w:t>(if need is evid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enced)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 provided on submission of periodic claims.</w:t>
            </w:r>
          </w:p>
        </w:tc>
      </w:tr>
      <w:tr w:rsidR="00091F51">
        <w:tc>
          <w:tcPr>
            <w:tcW w:w="1473" w:type="dxa"/>
            <w:shd w:val="clear" w:color="auto" w:fill="F6B26B"/>
          </w:tcPr>
          <w:p w:rsidR="00091F51" w:rsidRDefault="005442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Delivery</w:t>
            </w:r>
          </w:p>
        </w:tc>
        <w:tc>
          <w:tcPr>
            <w:tcW w:w="6891" w:type="dxa"/>
            <w:shd w:val="clear" w:color="auto" w:fill="F6B26B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Usually driven by the Department, based on its needs, and specified within the contract. Usually outputs focussed.</w:t>
            </w:r>
          </w:p>
        </w:tc>
        <w:tc>
          <w:tcPr>
            <w:tcW w:w="7371" w:type="dxa"/>
            <w:shd w:val="clear" w:color="auto" w:fill="F6B26B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recipient is usually able to exercise freedom to take their own decisions on how to achieve the outcomes.</w:t>
            </w:r>
          </w:p>
        </w:tc>
      </w:tr>
      <w:tr w:rsidR="00091F51">
        <w:trPr>
          <w:trHeight w:val="444"/>
        </w:trPr>
        <w:tc>
          <w:tcPr>
            <w:tcW w:w="1473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hyperlink r:id="rId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Value Added Tax</w:t>
              </w:r>
            </w:hyperlink>
          </w:p>
        </w:tc>
        <w:tc>
          <w:tcPr>
            <w:tcW w:w="6891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Due to consideration VAT will apply (unless for certain exempt goods / services, or with HMRC waiver). </w:t>
            </w:r>
            <w:hyperlink r:id="rId8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More information can be found here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 </w:t>
            </w:r>
            <w:hyperlink r:id="rId9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consideration is not usually evident VAT will not apply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If there is consideration, it is unlikely to be a grant. </w:t>
            </w:r>
            <w:hyperlink r:id="rId10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More information can be found here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91F51">
        <w:tc>
          <w:tcPr>
            <w:tcW w:w="1473" w:type="dxa"/>
            <w:shd w:val="clear" w:color="auto" w:fill="F6B26B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Authority &amp; Regulatory Issues</w:t>
            </w:r>
          </w:p>
        </w:tc>
        <w:tc>
          <w:tcPr>
            <w:tcW w:w="6891" w:type="dxa"/>
            <w:shd w:val="clear" w:color="auto" w:fill="F6B26B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Authority to enter into contracts is given by Parliament via vote on estimate, though specific legislation may also be required for certain large contracts. </w:t>
            </w:r>
            <w:hyperlink r:id="rId1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EU Public Sect</w:t>
              </w:r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or Procurement law applies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Contract procurement rules must be applied. Civil law standards and contract law applies.</w:t>
            </w:r>
          </w:p>
        </w:tc>
        <w:tc>
          <w:tcPr>
            <w:tcW w:w="7371" w:type="dxa"/>
            <w:shd w:val="clear" w:color="auto" w:fill="F6B26B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Specific legislation is usually required to allow a Secretary of State to make grants (in some instances grants can be financed via the Ap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propriations Act). </w:t>
            </w:r>
            <w:hyperlink r:id="rId12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The Grants Standards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must be complied with. Public law standards, public and administrative law and tort law applies.</w:t>
            </w:r>
          </w:p>
        </w:tc>
      </w:tr>
      <w:tr w:rsidR="00091F51">
        <w:tc>
          <w:tcPr>
            <w:tcW w:w="1473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Remedies for breach</w:t>
            </w:r>
          </w:p>
        </w:tc>
        <w:tc>
          <w:tcPr>
            <w:tcW w:w="6891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Suspension, clawback of unused or misused funds, liquidated damages allow compensation, recovery of funds due to losses incurred, termination for breach, may be able to obtain a court order for specific performance.</w:t>
            </w:r>
          </w:p>
        </w:tc>
        <w:tc>
          <w:tcPr>
            <w:tcW w:w="7371" w:type="dxa"/>
            <w:shd w:val="clear" w:color="auto" w:fill="FFFFFF"/>
          </w:tcPr>
          <w:p w:rsidR="00091F51" w:rsidRDefault="0054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Can suspend, claw back unused or misused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funds, termination for breach.</w:t>
            </w:r>
          </w:p>
        </w:tc>
      </w:tr>
    </w:tbl>
    <w:p w:rsidR="00091F51" w:rsidRDefault="00091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091F51" w:rsidRDefault="00544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Official Sensitive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Please note this is a policy guidance note and should not be treated as constituting legal advice</w:t>
      </w:r>
    </w:p>
    <w:p w:rsidR="00091F51" w:rsidRDefault="00091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91F51" w:rsidRDefault="00091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91F51" w:rsidRDefault="00091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91F51" w:rsidRDefault="00091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91F51" w:rsidRDefault="00091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091F51" w:rsidRDefault="005442DE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32"/>
          <w:szCs w:val="32"/>
        </w:rPr>
      </w:pPr>
      <w:r>
        <w:rPr>
          <w:rFonts w:ascii="Arial" w:eastAsia="Arial" w:hAnsi="Arial" w:cs="Arial"/>
          <w:b/>
          <w:color w:val="222222"/>
          <w:sz w:val="32"/>
          <w:szCs w:val="32"/>
        </w:rPr>
        <w:t>Questions to Consider when deciding on the appropriate mechanism:</w:t>
      </w:r>
    </w:p>
    <w:p w:rsidR="00091F51" w:rsidRDefault="005442DE">
      <w:pPr>
        <w:spacing w:after="0" w:line="240" w:lineRule="auto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 </w:t>
      </w:r>
    </w:p>
    <w:p w:rsidR="00091F51" w:rsidRDefault="005442DE">
      <w:pPr>
        <w:spacing w:after="0" w:line="240" w:lineRule="auto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Grants versus contracts</w:t>
      </w:r>
    </w:p>
    <w:p w:rsidR="00091F51" w:rsidRDefault="005442DE">
      <w:pPr>
        <w:spacing w:after="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</w:t>
      </w:r>
    </w:p>
    <w:p w:rsidR="00091F51" w:rsidRDefault="005442DE">
      <w:pPr>
        <w:spacing w:after="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Instructions</w:t>
      </w:r>
      <w:r>
        <w:rPr>
          <w:rFonts w:ascii="Arial" w:eastAsia="Arial" w:hAnsi="Arial" w:cs="Arial"/>
          <w:color w:val="222222"/>
        </w:rPr>
        <w:t>: work through the questions in turn, highlighting the appropriate answer to each in the context of the scheme/ policy under development.  The totalled result should provide an indication as to which mechanism may be most appropriate, providing</w:t>
      </w:r>
      <w:r>
        <w:rPr>
          <w:rFonts w:ascii="Arial" w:eastAsia="Arial" w:hAnsi="Arial" w:cs="Arial"/>
          <w:color w:val="222222"/>
        </w:rPr>
        <w:t xml:space="preserve"> a baseline for further investigations.</w:t>
      </w:r>
    </w:p>
    <w:p w:rsidR="00091F51" w:rsidRDefault="005442DE">
      <w:pPr>
        <w:spacing w:after="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</w:t>
      </w:r>
    </w:p>
    <w:p w:rsidR="00091F51" w:rsidRDefault="005442DE">
      <w:pPr>
        <w:spacing w:after="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Important note</w:t>
      </w:r>
      <w:r>
        <w:rPr>
          <w:rFonts w:ascii="Arial" w:eastAsia="Arial" w:hAnsi="Arial" w:cs="Arial"/>
          <w:color w:val="222222"/>
        </w:rPr>
        <w:t>: the table below is to be used as a guide, to provide a broad indication of which funding mechanism may be the most appropriate; there are exceptions to the answers in most cases and so the table sho</w:t>
      </w:r>
      <w:r>
        <w:rPr>
          <w:rFonts w:ascii="Arial" w:eastAsia="Arial" w:hAnsi="Arial" w:cs="Arial"/>
          <w:color w:val="222222"/>
        </w:rPr>
        <w:t>uld be used in conjunction with detailed guidance and considered in the light of legal advice on particular schemes.</w:t>
      </w:r>
    </w:p>
    <w:p w:rsidR="00091F51" w:rsidRDefault="005442DE">
      <w:pPr>
        <w:spacing w:after="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</w:t>
      </w:r>
    </w:p>
    <w:p w:rsidR="00091F51" w:rsidRDefault="005442DE">
      <w:pPr>
        <w:spacing w:after="0" w:line="240" w:lineRule="auto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 </w:t>
      </w:r>
    </w:p>
    <w:tbl>
      <w:tblPr>
        <w:tblStyle w:val="a0"/>
        <w:tblW w:w="14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9975"/>
        <w:gridCol w:w="1605"/>
        <w:gridCol w:w="1635"/>
      </w:tblGrid>
      <w:tr w:rsidR="00091F51">
        <w:trPr>
          <w:trHeight w:val="71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#</w:t>
            </w:r>
          </w:p>
        </w:tc>
        <w:tc>
          <w:tcPr>
            <w:tcW w:w="9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Question</w:t>
            </w:r>
          </w:p>
        </w:tc>
        <w:tc>
          <w:tcPr>
            <w:tcW w:w="1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Grant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Contract</w:t>
            </w:r>
          </w:p>
        </w:tc>
      </w:tr>
      <w:tr w:rsidR="00091F51">
        <w:trPr>
          <w:trHeight w:val="80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Do you wish the participating organisations to make a profit or retain a surplus?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2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Do you have clear volumes for outputs that can be profiled?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</w:tr>
      <w:tr w:rsidR="00091F51">
        <w:trPr>
          <w:trHeight w:val="80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3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Do you want the agreement to be legally enforceable (beyond just clawback)?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4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Is the output likely to be defined during delivery?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5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Do you wish to pay by results as opposed to just payment in arrears?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6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Do you wish to only cover costs?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7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Will the scheme provide a direct economic benefit to the department?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</w:tr>
      <w:tr w:rsidR="00091F51">
        <w:trPr>
          <w:trHeight w:val="95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8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Is the scheme aimed towards non-profit making activities rather than more obviously commercialised for-profit activities?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9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Will the scheme be delivered primarily by commercial entities?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10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Will delivery be via small organisations in the civil society sector?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11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Do you consider VAT is applicable - are goods/services being bought?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</w:tr>
      <w:tr w:rsidR="00091F51">
        <w:trPr>
          <w:trHeight w:val="89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12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Is the scheme an extension of departmental policy delivered externally due to internal capabili</w:t>
            </w:r>
            <w:r>
              <w:rPr>
                <w:rFonts w:ascii="Arial" w:eastAsia="Arial" w:hAnsi="Arial" w:cs="Arial"/>
                <w:color w:val="222222"/>
              </w:rPr>
              <w:t>ty and/ or capacity limits?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Do you wish the department to retain the funding/ delivery risk?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14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Will the scheme deliver tangible/ measurable outputs?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</w:tr>
      <w:tr w:rsidR="00091F51">
        <w:trPr>
          <w:trHeight w:val="995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Will the scheme provide the department with direct access to specialists available via a market, such as management consultants?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16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Does the applicable legislation specify grant powers?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</w:tr>
      <w:tr w:rsidR="00091F51">
        <w:trPr>
          <w:trHeight w:val="710"/>
        </w:trPr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964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17</w:t>
            </w:r>
          </w:p>
        </w:tc>
        <w:tc>
          <w:tcPr>
            <w:tcW w:w="9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Do you expect to claw-back surplus funding?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Yes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F51" w:rsidRDefault="005442DE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No</w:t>
            </w:r>
          </w:p>
        </w:tc>
      </w:tr>
    </w:tbl>
    <w:p w:rsidR="00091F51" w:rsidRDefault="005442DE">
      <w:pPr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091F51" w:rsidRDefault="00091F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091F51">
      <w:pgSz w:w="16838" w:h="11906" w:orient="landscape"/>
      <w:pgMar w:top="425" w:right="1133" w:bottom="708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F51"/>
    <w:rsid w:val="00091F51"/>
    <w:rsid w:val="005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FA494-A723-4D95-8BFD-914D9673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17C0"/>
    <w:pPr>
      <w:spacing w:after="0" w:line="240" w:lineRule="auto"/>
    </w:pPr>
  </w:style>
  <w:style w:type="table" w:styleId="TableGrid">
    <w:name w:val="Table Grid"/>
    <w:basedOn w:val="TableNormal"/>
    <w:uiPriority w:val="39"/>
    <w:rsid w:val="00E2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5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1F4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at-busines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3-eu-west-2.amazonaws.com/taxcofe-prod-storage-e5g3yxxi33zt/uploads/2018/02/TCoE-Website-VAT_Grants.pdf" TargetMode="External"/><Relationship Id="rId12" Type="http://schemas.openxmlformats.org/officeDocument/2006/relationships/hyperlink" Target="https://www.gov.uk/government/publications/grants-standards/grant-standar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rantshub.civilservice.gov.uk" TargetMode="External"/><Relationship Id="rId11" Type="http://schemas.openxmlformats.org/officeDocument/2006/relationships/hyperlink" Target="https://www.gov.uk/guidance/transposing-eu-procurement-directives" TargetMode="External"/><Relationship Id="rId5" Type="http://schemas.openxmlformats.org/officeDocument/2006/relationships/hyperlink" Target="http://www.gov.uk/government/collections/the-public-sector-contract" TargetMode="External"/><Relationship Id="rId10" Type="http://schemas.openxmlformats.org/officeDocument/2006/relationships/hyperlink" Target="https://s3-eu-west-2.amazonaws.com/taxcofe-prod-storage-e5g3yxxi33zt/uploads/2018/08/20180810-policy-approved-Grants-and-VAT-0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hmrc-internal-manuals/vat-supply-and-consideration/vatsc51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she+0P9DRA+ybXPOOZVv8/Yuw==">AMUW2mWdwYan6dnVneCqWGwLt+OXaGFiDqCm/hhmDC1Hxqc6KaNGc2UNOQJNyqYAp6z8f/7bh1k6INzGmrxN+Z7rmWYtsaqEBku1pZtk3tKgSrvrxL2XxyM5oNi4run85tXvFs5YhFat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York</dc:creator>
  <cp:lastModifiedBy>Olli Jokinen</cp:lastModifiedBy>
  <cp:revision>2</cp:revision>
  <dcterms:created xsi:type="dcterms:W3CDTF">2023-02-01T11:15:00Z</dcterms:created>
  <dcterms:modified xsi:type="dcterms:W3CDTF">2023-02-01T11:15:00Z</dcterms:modified>
</cp:coreProperties>
</file>